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60" w:rsidRPr="0084727B" w:rsidRDefault="008A5A60" w:rsidP="008A5A60">
      <w:pPr>
        <w:spacing w:after="0"/>
        <w:rPr>
          <w:rFonts w:cstheme="minorHAnsi"/>
          <w:sz w:val="28"/>
          <w:szCs w:val="28"/>
        </w:rPr>
      </w:pPr>
      <w:bookmarkStart w:id="0" w:name="_Hlk172842122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6</w:t>
      </w:r>
    </w:p>
    <w:p w:rsidR="008A5A60" w:rsidRPr="0084727B" w:rsidRDefault="008A5A60" w:rsidP="008A5A60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2E5329">
        <w:rPr>
          <w:rStyle w:val="ui-provider"/>
          <w:rFonts w:cstheme="minorHAnsi"/>
        </w:rPr>
        <w:t>7</w:t>
      </w:r>
      <w:bookmarkStart w:id="1" w:name="_GoBack"/>
      <w:bookmarkEnd w:id="1"/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</w:t>
            </w:r>
            <w:proofErr w:type="spellStart"/>
            <w:r w:rsidR="00EE30D1" w:rsidRPr="008938DA">
              <w:rPr>
                <w:rFonts w:cstheme="minorHAnsi"/>
              </w:rPr>
              <w:t>Diaz</w:t>
            </w:r>
            <w:proofErr w:type="spellEnd"/>
            <w:r w:rsidR="00EE30D1" w:rsidRPr="008938DA">
              <w:rPr>
                <w:rFonts w:cstheme="minorHAnsi"/>
              </w:rPr>
              <w:t>)</w:t>
            </w:r>
          </w:p>
          <w:p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Diaza</w:t>
            </w:r>
            <w:proofErr w:type="spellEnd"/>
            <w:r w:rsidR="0062573E" w:rsidRPr="008938DA">
              <w:rPr>
                <w:rFonts w:cstheme="minorHAnsi"/>
              </w:rPr>
              <w:t xml:space="preserve">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</w:t>
            </w:r>
            <w:proofErr w:type="spellStart"/>
            <w:r w:rsidR="00B56302" w:rsidRPr="008938DA">
              <w:rPr>
                <w:rFonts w:cstheme="minorHAnsi"/>
              </w:rPr>
              <w:t>H</w:t>
            </w:r>
            <w:r w:rsidR="00DC5B6E">
              <w:rPr>
                <w:rFonts w:cstheme="minorHAnsi"/>
              </w:rPr>
              <w:t>ernán</w:t>
            </w:r>
            <w:proofErr w:type="spellEnd"/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B56302" w:rsidRPr="00452ED5">
              <w:rPr>
                <w:rFonts w:cstheme="minorHAnsi"/>
                <w:highlight w:val="darkGray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trzy</w:t>
            </w:r>
            <w:proofErr w:type="spellEnd"/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443F04" w:rsidRPr="00F45275">
              <w:rPr>
                <w:rFonts w:cstheme="minorHAnsi"/>
                <w:i/>
              </w:rPr>
              <w:t>novi</w:t>
            </w:r>
            <w:proofErr w:type="spellEnd"/>
            <w:r w:rsidR="00443F04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lastRenderedPageBreak/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B26BA2"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 ich uprawnień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proofErr w:type="spellStart"/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</w:t>
            </w:r>
            <w:proofErr w:type="spellEnd"/>
            <w:r w:rsidR="00BD75D7" w:rsidRPr="008938DA">
              <w:rPr>
                <w:rFonts w:eastAsia="Times New Roman" w:cstheme="minorHAnsi"/>
                <w:spacing w:val="-2"/>
              </w:rPr>
              <w:t xml:space="preserve"> w. z parlamentaryzmem współczesnej Polski</w:t>
            </w:r>
          </w:p>
          <w:p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:rsidR="0007631F" w:rsidRPr="008938DA" w:rsidRDefault="0007631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52ED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</w:t>
            </w:r>
          </w:p>
          <w:p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:rsidR="008A3569" w:rsidRPr="008938DA" w:rsidRDefault="008A356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:rsidR="00061E52" w:rsidRPr="008938DA" w:rsidRDefault="00061E52" w:rsidP="00452ED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autora i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pomysłodawcę unii</w:t>
            </w:r>
          </w:p>
          <w:p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lastRenderedPageBreak/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 xml:space="preserve">analizuje wygląd </w:t>
            </w:r>
            <w:r w:rsidR="007270CB" w:rsidRPr="008938DA">
              <w:rPr>
                <w:rFonts w:cstheme="minorHAnsi"/>
              </w:rPr>
              <w:lastRenderedPageBreak/>
              <w:t>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 xml:space="preserve">na mapie </w:t>
            </w:r>
            <w:r w:rsidR="00A74203" w:rsidRPr="008938DA">
              <w:rPr>
                <w:rFonts w:cstheme="minorHAnsi"/>
              </w:rPr>
              <w:lastRenderedPageBreak/>
              <w:t>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 xml:space="preserve">pacta </w:t>
            </w:r>
            <w:proofErr w:type="spellStart"/>
            <w:r w:rsidR="00094F34" w:rsidRPr="00F45275">
              <w:rPr>
                <w:rFonts w:eastAsia="Times New Roman" w:cstheme="minorHAnsi"/>
                <w:i/>
                <w:lang w:eastAsia="pl-PL"/>
              </w:rPr>
              <w:t>conventa</w:t>
            </w:r>
            <w:proofErr w:type="spellEnd"/>
          </w:p>
          <w:p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wskazuje Henryka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>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 xml:space="preserve">wyjaśnia skutki </w:t>
            </w:r>
            <w:r w:rsidR="00293110" w:rsidRPr="008938DA">
              <w:rPr>
                <w:rFonts w:cstheme="minorHAnsi"/>
              </w:rPr>
              <w:lastRenderedPageBreak/>
              <w:t>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 xml:space="preserve">pacta </w:t>
            </w:r>
            <w:proofErr w:type="spellStart"/>
            <w:r w:rsidR="00293110" w:rsidRPr="00F45275">
              <w:rPr>
                <w:rFonts w:cstheme="minorHAnsi"/>
                <w:i/>
              </w:rPr>
              <w:t>conventa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 xml:space="preserve">pacta </w:t>
            </w:r>
            <w:proofErr w:type="spellStart"/>
            <w:r w:rsidR="007E4FC8" w:rsidRPr="00F45275">
              <w:rPr>
                <w:rFonts w:cstheme="minorHAnsi"/>
                <w:i/>
              </w:rPr>
              <w:t>conventa</w:t>
            </w:r>
            <w:proofErr w:type="spellEnd"/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lastRenderedPageBreak/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proofErr w:type="spellStart"/>
            <w:r w:rsidR="005976FF" w:rsidRPr="008938DA">
              <w:rPr>
                <w:rFonts w:eastAsia="Times New Roman" w:cstheme="minorHAnsi"/>
                <w:lang w:eastAsia="pl-PL"/>
              </w:rPr>
              <w:t>dymitriada</w:t>
            </w:r>
            <w:proofErr w:type="spellEnd"/>
            <w:r w:rsidR="005976FF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</w:t>
            </w:r>
            <w:proofErr w:type="spellStart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Stanisława Żółkiewskiego jako dowódcę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Moskwę i </w:t>
            </w:r>
            <w:proofErr w:type="spellStart"/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następstwa </w:t>
            </w:r>
            <w:proofErr w:type="spellStart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dymitriady</w:t>
            </w:r>
            <w:proofErr w:type="spellEnd"/>
          </w:p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 xml:space="preserve">szwedzkich w I </w:t>
            </w:r>
            <w:proofErr w:type="spellStart"/>
            <w:r w:rsidR="0043203F" w:rsidRPr="008938DA">
              <w:rPr>
                <w:rFonts w:eastAsia="Times New Roman" w:cstheme="minorHAnsi"/>
                <w:lang w:eastAsia="pl-PL"/>
              </w:rPr>
              <w:t>poł</w:t>
            </w:r>
            <w:proofErr w:type="spellEnd"/>
            <w:r w:rsidR="0043203F" w:rsidRPr="008938DA">
              <w:rPr>
                <w:rFonts w:eastAsia="Times New Roman" w:cstheme="minorHAnsi"/>
                <w:lang w:eastAsia="pl-PL"/>
              </w:rPr>
              <w:t>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</w:t>
            </w:r>
            <w:proofErr w:type="spellStart"/>
            <w:r w:rsidR="00E97EA8" w:rsidRPr="008938DA">
              <w:rPr>
                <w:rFonts w:cstheme="minorHAnsi"/>
              </w:rPr>
              <w:t>Korsuń</w:t>
            </w:r>
            <w:proofErr w:type="spellEnd"/>
            <w:r w:rsidR="00E97EA8" w:rsidRPr="008938DA">
              <w:rPr>
                <w:rFonts w:cstheme="minorHAnsi"/>
              </w:rPr>
              <w:t>, Beresteczko)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</w:t>
            </w:r>
            <w:proofErr w:type="spellStart"/>
            <w:r w:rsidR="00861EA0" w:rsidRPr="008938DA">
              <w:rPr>
                <w:rFonts w:cstheme="minorHAnsi"/>
              </w:rPr>
              <w:t>Andruszowie</w:t>
            </w:r>
            <w:proofErr w:type="spellEnd"/>
            <w:r w:rsidR="00861EA0" w:rsidRPr="008938DA">
              <w:rPr>
                <w:rFonts w:cstheme="minorHAnsi"/>
              </w:rPr>
              <w:t xml:space="preserve">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 xml:space="preserve">wskazuje Stefana Czarnieckiego jako bohatera </w:t>
            </w:r>
            <w:r w:rsidR="004A082E" w:rsidRPr="00452ED5">
              <w:rPr>
                <w:rFonts w:cstheme="minorHAnsi"/>
                <w:highlight w:val="darkGray"/>
              </w:rPr>
              <w:t>walk ze Szwedami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3D77AE" w:rsidRPr="00452ED5">
              <w:rPr>
                <w:rFonts w:cstheme="minorHAnsi"/>
                <w:highlight w:val="darkGray"/>
              </w:rPr>
              <w:t xml:space="preserve">wymienia obronę Jasnej Góry jako </w:t>
            </w:r>
            <w:r w:rsidR="004A082E" w:rsidRPr="00452ED5">
              <w:rPr>
                <w:rFonts w:cstheme="minorHAnsi"/>
                <w:highlight w:val="darkGray"/>
              </w:rPr>
              <w:t xml:space="preserve">przełomowy moment </w:t>
            </w:r>
            <w:r w:rsidR="00330E00" w:rsidRPr="00452ED5">
              <w:rPr>
                <w:rFonts w:cstheme="minorHAnsi"/>
                <w:highlight w:val="darkGray"/>
              </w:rPr>
              <w:t>potopu szwedzkiego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452ED5" w:rsidRDefault="000A08B0" w:rsidP="000A08B0">
            <w:pPr>
              <w:spacing w:after="0"/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charakteryzuje posta</w:t>
            </w:r>
            <w:r w:rsidR="003D77AE" w:rsidRPr="00452ED5">
              <w:rPr>
                <w:rFonts w:cstheme="minorHAnsi"/>
                <w:highlight w:val="darkGray"/>
              </w:rPr>
              <w:t>ci</w:t>
            </w:r>
            <w:r w:rsidR="008574D4" w:rsidRPr="00452ED5">
              <w:rPr>
                <w:rFonts w:cstheme="minorHAnsi"/>
                <w:highlight w:val="darkGray"/>
              </w:rPr>
              <w:t xml:space="preserve"> Stefana Czarnieckiego</w:t>
            </w:r>
            <w:r w:rsidR="003D77AE" w:rsidRPr="00452ED5">
              <w:rPr>
                <w:rFonts w:cstheme="minorHAnsi"/>
                <w:highlight w:val="darkGray"/>
              </w:rPr>
              <w:t xml:space="preserve"> i Augustyna Kordeckiego</w:t>
            </w:r>
            <w:r w:rsidR="008574D4" w:rsidRPr="00452ED5">
              <w:rPr>
                <w:rFonts w:cstheme="minorHAnsi"/>
                <w:highlight w:val="darkGray"/>
              </w:rPr>
              <w:t xml:space="preserve"> 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uzasadnia znaczenie bohaterskiej obrony Częstochowy dla prowadzenia dalszej walki z najeźdźcą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7303F7" w:rsidRPr="00452ED5">
              <w:rPr>
                <w:rFonts w:cstheme="minorHAnsi"/>
                <w:highlight w:val="darkGray"/>
              </w:rPr>
              <w:t>poprawnie posługuje się terminem</w:t>
            </w:r>
            <w:r w:rsidR="00EC1D14" w:rsidRPr="00452ED5">
              <w:rPr>
                <w:rFonts w:cstheme="minorHAnsi"/>
                <w:highlight w:val="darkGray"/>
              </w:rPr>
              <w:t xml:space="preserve">: </w:t>
            </w:r>
            <w:r w:rsidR="00EC1D14" w:rsidRPr="00452ED5">
              <w:rPr>
                <w:rFonts w:cstheme="minorHAnsi"/>
                <w:i/>
                <w:highlight w:val="darkGray"/>
              </w:rPr>
              <w:t xml:space="preserve">wojna </w:t>
            </w:r>
            <w:r w:rsidR="002F4397" w:rsidRPr="00452ED5">
              <w:rPr>
                <w:rFonts w:cstheme="minorHAnsi"/>
                <w:i/>
                <w:highlight w:val="darkGray"/>
              </w:rPr>
              <w:t>podjazdowa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wyjaśnia przyczyny prowadzenia wojny podjazdowej przez Polskę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przedstawia zobowiązania Jana Kazimierza złożone podczas ślubów lwowskich</w:t>
            </w:r>
          </w:p>
          <w:p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</w:t>
            </w:r>
            <w:proofErr w:type="spellStart"/>
            <w:r w:rsidR="009D6EED" w:rsidRPr="008938DA">
              <w:rPr>
                <w:rFonts w:cstheme="minorHAnsi"/>
              </w:rPr>
              <w:t>poł</w:t>
            </w:r>
            <w:proofErr w:type="spellEnd"/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wymienia skutki wojen </w:t>
            </w:r>
            <w:r w:rsidR="009D6EED" w:rsidRPr="008938DA">
              <w:rPr>
                <w:rFonts w:cstheme="minorHAnsi"/>
              </w:rPr>
              <w:lastRenderedPageBreak/>
              <w:t>z Turcją</w:t>
            </w:r>
          </w:p>
          <w:p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</w:t>
            </w:r>
            <w:proofErr w:type="spellStart"/>
            <w:r w:rsidR="00A214C7" w:rsidRPr="008938DA">
              <w:rPr>
                <w:rFonts w:cstheme="minorHAnsi"/>
              </w:rPr>
              <w:t>poł</w:t>
            </w:r>
            <w:proofErr w:type="spellEnd"/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 xml:space="preserve">bitwy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proofErr w:type="spellStart"/>
            <w:r w:rsidR="00A246A5">
              <w:rPr>
                <w:rFonts w:cstheme="minorHAnsi"/>
              </w:rPr>
              <w:t>dwie–trzy</w:t>
            </w:r>
            <w:proofErr w:type="spellEnd"/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3"/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4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4"/>
      <w:tr w:rsidR="00DF260E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Marię Teresę, Józefa II, Piotra I </w:t>
            </w:r>
            <w:proofErr w:type="spellStart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proofErr w:type="spellEnd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Zjednoczonych (4 </w:t>
            </w:r>
            <w:r w:rsidR="00EB2830" w:rsidRPr="008938DA">
              <w:rPr>
                <w:rFonts w:cstheme="minorHAnsi"/>
              </w:rPr>
              <w:lastRenderedPageBreak/>
              <w:t>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2E85" w:rsidRPr="008938DA">
              <w:rPr>
                <w:rFonts w:cstheme="minorHAnsi"/>
              </w:rPr>
              <w:t xml:space="preserve">wymienia miejsca </w:t>
            </w:r>
            <w:r w:rsidR="00122E85" w:rsidRPr="008938DA">
              <w:rPr>
                <w:rFonts w:cstheme="minorHAnsi"/>
              </w:rPr>
              <w:lastRenderedPageBreak/>
              <w:t>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lastRenderedPageBreak/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 xml:space="preserve">d Sasa do </w:t>
            </w:r>
            <w:proofErr w:type="spellStart"/>
            <w:r w:rsidR="002248F1" w:rsidRPr="008938DA">
              <w:rPr>
                <w:rFonts w:eastAsia="Times New Roman" w:cstheme="minorHAnsi"/>
                <w:i/>
                <w:lang w:eastAsia="pl-PL"/>
              </w:rPr>
              <w:t>Lasa</w:t>
            </w:r>
            <w:proofErr w:type="spellEnd"/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</w:t>
            </w:r>
            <w:proofErr w:type="spellStart"/>
            <w:r w:rsidR="00ED6DD1" w:rsidRPr="008938DA">
              <w:rPr>
                <w:rFonts w:cstheme="minorHAnsi"/>
              </w:rPr>
              <w:t>poł</w:t>
            </w:r>
            <w:proofErr w:type="spellEnd"/>
            <w:r w:rsidR="00ED6DD1" w:rsidRPr="008938DA">
              <w:rPr>
                <w:rFonts w:cstheme="minorHAnsi"/>
              </w:rPr>
              <w:t>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 xml:space="preserve">podaje i zaznacza na </w:t>
            </w:r>
            <w:r w:rsidR="007D2215">
              <w:rPr>
                <w:rFonts w:cstheme="minorHAnsi"/>
              </w:rPr>
              <w:lastRenderedPageBreak/>
              <w:t>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lastRenderedPageBreak/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proofErr w:type="spellStart"/>
            <w:r w:rsidR="00D51C15" w:rsidRPr="008938DA">
              <w:rPr>
                <w:rFonts w:cstheme="minorHAnsi"/>
              </w:rPr>
              <w:t>poł</w:t>
            </w:r>
            <w:proofErr w:type="spellEnd"/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</w:t>
            </w:r>
            <w:proofErr w:type="spellStart"/>
            <w:r w:rsidR="00D61066" w:rsidRPr="008938DA">
              <w:rPr>
                <w:rFonts w:cstheme="minorHAnsi"/>
              </w:rPr>
              <w:t>poł</w:t>
            </w:r>
            <w:proofErr w:type="spellEnd"/>
            <w:r w:rsidR="00D61066" w:rsidRPr="008938DA">
              <w:rPr>
                <w:rFonts w:cstheme="minorHAnsi"/>
              </w:rPr>
              <w:t>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rderu Virtuti </w:t>
            </w:r>
            <w:proofErr w:type="spellStart"/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Militari</w:t>
            </w:r>
            <w:proofErr w:type="spellEnd"/>
          </w:p>
          <w:p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t>trzeciego</w:t>
            </w:r>
            <w:r w:rsidR="009936C8" w:rsidRPr="008938DA">
              <w:rPr>
                <w:rFonts w:cstheme="minorHAnsi"/>
              </w:rPr>
              <w:t xml:space="preserve"> rozbioru </w:t>
            </w:r>
            <w:r w:rsidR="009936C8" w:rsidRPr="008938DA">
              <w:rPr>
                <w:rFonts w:cstheme="minorHAnsi"/>
              </w:rPr>
              <w:lastRenderedPageBreak/>
              <w:t>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</w:t>
            </w:r>
            <w:r w:rsidR="00E33ABD" w:rsidRPr="008938DA">
              <w:rPr>
                <w:rFonts w:cstheme="minorHAnsi"/>
              </w:rPr>
              <w:lastRenderedPageBreak/>
              <w:t xml:space="preserve">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 xml:space="preserve">, dlaczego </w:t>
            </w:r>
            <w:r w:rsidR="00432024">
              <w:rPr>
                <w:rFonts w:cstheme="minorHAnsi"/>
              </w:rPr>
              <w:lastRenderedPageBreak/>
              <w:t>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proofErr w:type="spellEnd"/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lastRenderedPageBreak/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proofErr w:type="spellStart"/>
            <w:r w:rsidRPr="008938DA">
              <w:rPr>
                <w:rFonts w:cstheme="minorHAnsi"/>
              </w:rPr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>a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lastRenderedPageBreak/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proofErr w:type="spellStart"/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poł</w:t>
            </w:r>
            <w:proofErr w:type="spellEnd"/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3D" w:rsidRDefault="004A4C3D" w:rsidP="007B1B87">
      <w:pPr>
        <w:spacing w:after="0" w:line="240" w:lineRule="auto"/>
      </w:pPr>
      <w:r>
        <w:separator/>
      </w:r>
    </w:p>
  </w:endnote>
  <w:endnote w:type="continuationSeparator" w:id="0">
    <w:p w:rsidR="004A4C3D" w:rsidRDefault="004A4C3D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495718"/>
      <w:docPartObj>
        <w:docPartGallery w:val="Page Numbers (Bottom of Page)"/>
        <w:docPartUnique/>
      </w:docPartObj>
    </w:sdtPr>
    <w:sdtContent>
      <w:p w:rsidR="00781AFE" w:rsidRDefault="00C95639">
        <w:pPr>
          <w:pStyle w:val="Stopka"/>
          <w:jc w:val="right"/>
        </w:pPr>
        <w:r>
          <w:fldChar w:fldCharType="begin"/>
        </w:r>
        <w:r w:rsidR="00781AFE">
          <w:instrText>PAGE   \* MERGEFORMAT</w:instrText>
        </w:r>
        <w:r>
          <w:fldChar w:fldCharType="separate"/>
        </w:r>
        <w:r w:rsidR="00E25200">
          <w:rPr>
            <w:noProof/>
          </w:rPr>
          <w:t>21</w:t>
        </w:r>
        <w:r>
          <w:fldChar w:fldCharType="end"/>
        </w:r>
      </w:p>
    </w:sdtContent>
  </w:sdt>
  <w:p w:rsidR="00781AFE" w:rsidRDefault="00781A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3D" w:rsidRDefault="004A4C3D" w:rsidP="007B1B87">
      <w:pPr>
        <w:spacing w:after="0" w:line="240" w:lineRule="auto"/>
      </w:pPr>
      <w:r>
        <w:separator/>
      </w:r>
    </w:p>
  </w:footnote>
  <w:footnote w:type="continuationSeparator" w:id="0">
    <w:p w:rsidR="004A4C3D" w:rsidRDefault="004A4C3D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563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25200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4C8C-F8A6-4216-AEBB-259A7527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6461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grześ piątek</cp:lastModifiedBy>
  <cp:revision>2</cp:revision>
  <cp:lastPrinted>2017-09-06T11:26:00Z</cp:lastPrinted>
  <dcterms:created xsi:type="dcterms:W3CDTF">2025-08-31T13:22:00Z</dcterms:created>
  <dcterms:modified xsi:type="dcterms:W3CDTF">2025-08-31T13:22:00Z</dcterms:modified>
</cp:coreProperties>
</file>